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28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28"/>
        <w:jc w:val="center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 xml:space="preserve">ИНФОРМАЦИОННАЯ СПРАВКА</w:t>
      </w:r>
      <w:r>
        <w:rPr>
          <w:rFonts w:ascii="Times New Roman" w:hAnsi="Times New Roman"/>
          <w:b/>
          <w:bCs/>
          <w:sz w:val="30"/>
          <w:szCs w:val="30"/>
        </w:rPr>
      </w:r>
      <w:r>
        <w:rPr>
          <w:rFonts w:ascii="Times New Roman" w:hAnsi="Times New Roman"/>
          <w:b/>
          <w:bCs/>
          <w:sz w:val="30"/>
          <w:szCs w:val="30"/>
        </w:rPr>
      </w:r>
    </w:p>
    <w:p>
      <w:pPr>
        <w:pStyle w:val="928"/>
        <w:jc w:val="center"/>
        <w:rPr>
          <w:rFonts w:ascii="Times New Roman" w:hAnsi="Times New Roman" w:eastAsia="Times New Roman" w:cs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 xml:space="preserve">о </w:t>
      </w:r>
      <w:r>
        <w:rPr>
          <w:rFonts w:ascii="Times New Roman" w:hAnsi="Times New Roman"/>
          <w:b/>
          <w:bCs/>
          <w:sz w:val="30"/>
          <w:szCs w:val="30"/>
        </w:rPr>
        <w:t xml:space="preserve">проведении федерального этапа </w:t>
      </w:r>
      <w:r>
        <w:rPr>
          <w:rFonts w:ascii="Times New Roman" w:hAnsi="Times New Roman"/>
          <w:b/>
          <w:bCs/>
          <w:sz w:val="30"/>
          <w:szCs w:val="30"/>
        </w:rPr>
        <w:t xml:space="preserve">направления «</w:t>
      </w:r>
      <w:r>
        <w:rPr>
          <w:rFonts w:ascii="Times New Roman" w:hAnsi="Times New Roman"/>
          <w:b/>
          <w:bCs/>
          <w:sz w:val="30"/>
          <w:szCs w:val="30"/>
        </w:rPr>
        <w:t xml:space="preserve">ГосСтарт.Стажировки</w:t>
      </w:r>
      <w:r>
        <w:rPr>
          <w:rFonts w:ascii="Times New Roman" w:hAnsi="Times New Roman"/>
          <w:b/>
          <w:bCs/>
          <w:sz w:val="30"/>
          <w:szCs w:val="30"/>
        </w:rPr>
        <w:t xml:space="preserve">» в рамках Всероссийской программы сопровождения молодых государственных </w:t>
      </w:r>
      <w:r>
        <w:rPr>
          <w:rFonts w:ascii="Times New Roman" w:hAnsi="Times New Roman"/>
          <w:b/>
          <w:bCs/>
          <w:sz w:val="30"/>
          <w:szCs w:val="30"/>
        </w:rPr>
        <w:br/>
      </w:r>
      <w:r>
        <w:rPr>
          <w:rFonts w:ascii="Times New Roman" w:hAnsi="Times New Roman"/>
          <w:b/>
          <w:bCs/>
          <w:sz w:val="30"/>
          <w:szCs w:val="30"/>
        </w:rPr>
        <w:t xml:space="preserve">и муниципальных служащих «</w:t>
      </w:r>
      <w:r>
        <w:rPr>
          <w:rFonts w:ascii="Times New Roman" w:hAnsi="Times New Roman"/>
          <w:b/>
          <w:bCs/>
          <w:sz w:val="30"/>
          <w:szCs w:val="30"/>
        </w:rPr>
        <w:t xml:space="preserve">ГосСтарт</w:t>
      </w:r>
      <w:r>
        <w:rPr>
          <w:rFonts w:ascii="Times New Roman" w:hAnsi="Times New Roman"/>
          <w:b/>
          <w:bCs/>
          <w:sz w:val="30"/>
          <w:szCs w:val="30"/>
        </w:rPr>
        <w:t xml:space="preserve">»</w:t>
      </w:r>
      <w:r>
        <w:rPr>
          <w:rFonts w:ascii="Times New Roman" w:hAnsi="Times New Roman" w:eastAsia="Times New Roman" w:cs="Times New Roman"/>
          <w:b/>
          <w:bCs/>
          <w:sz w:val="30"/>
          <w:szCs w:val="30"/>
        </w:rPr>
      </w:r>
      <w:r>
        <w:rPr>
          <w:rFonts w:ascii="Times New Roman" w:hAnsi="Times New Roman" w:eastAsia="Times New Roman" w:cs="Times New Roman"/>
          <w:b/>
          <w:bCs/>
          <w:sz w:val="30"/>
          <w:szCs w:val="30"/>
        </w:rPr>
      </w:r>
    </w:p>
    <w:p>
      <w:pPr>
        <w:pStyle w:val="928"/>
        <w:jc w:val="center"/>
        <w:rPr>
          <w:rFonts w:ascii="Times New Roman" w:hAnsi="Times New Roman" w:eastAsia="Times New Roman" w:cs="Times New Roman"/>
          <w:b/>
          <w:bCs/>
          <w:sz w:val="30"/>
          <w:szCs w:val="30"/>
        </w:rPr>
      </w:pPr>
      <w:r>
        <w:rPr>
          <w:rFonts w:ascii="Times New Roman" w:hAnsi="Times New Roman" w:eastAsia="Times New Roman" w:cs="Times New Roman"/>
          <w:b/>
          <w:bCs/>
          <w:sz w:val="30"/>
          <w:szCs w:val="30"/>
        </w:rPr>
      </w:r>
      <w:r>
        <w:rPr>
          <w:rFonts w:ascii="Times New Roman" w:hAnsi="Times New Roman" w:eastAsia="Times New Roman" w:cs="Times New Roman"/>
          <w:b/>
          <w:bCs/>
          <w:sz w:val="30"/>
          <w:szCs w:val="30"/>
        </w:rPr>
      </w:r>
      <w:r>
        <w:rPr>
          <w:rFonts w:ascii="Times New Roman" w:hAnsi="Times New Roman" w:eastAsia="Times New Roman" w:cs="Times New Roman"/>
          <w:b/>
          <w:bCs/>
          <w:sz w:val="30"/>
          <w:szCs w:val="3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30"/>
          <w:szCs w:val="30"/>
          <w:lang w:bidi="en-US"/>
        </w:rPr>
        <w:pBdr>
          <w:left w:val="none" w:color="000000" w:sz="4" w:space="16"/>
        </w:pBdr>
      </w:pPr>
      <w:r>
        <w:rPr>
          <w:rFonts w:ascii="Times New Roman" w:hAnsi="Times New Roman"/>
          <w:sz w:val="30"/>
          <w:szCs w:val="30"/>
          <w:lang w:bidi="en-US"/>
        </w:rPr>
        <w:t xml:space="preserve">Во исполнение подпункта «б» пункта 3 перечня поручений Президента Российской Федерации по итогам заседания Государственного Совета Российской Федерации от 29 января 2023 г. № Пр-173ГС Федеральным агентством по делам мол</w:t>
      </w:r>
      <w:r>
        <w:rPr>
          <w:rFonts w:ascii="Times New Roman" w:hAnsi="Times New Roman"/>
          <w:sz w:val="30"/>
          <w:szCs w:val="30"/>
          <w:lang w:bidi="en-US"/>
        </w:rPr>
        <w:t xml:space="preserve">одежи совместно с Министерством труда и социальной защиты Российской Федерации, Министерством науки и высшего образования Российской Федерации и Правительством Нижегородской области реализуется Всероссийская программа сопровождения молодых государственных </w:t>
      </w:r>
      <w:r>
        <w:rPr>
          <w:rFonts w:ascii="Times New Roman" w:hAnsi="Times New Roman"/>
          <w:sz w:val="30"/>
          <w:szCs w:val="30"/>
          <w:lang w:bidi="en-US"/>
        </w:rPr>
        <w:br/>
      </w:r>
      <w:r>
        <w:rPr>
          <w:rFonts w:ascii="Times New Roman" w:hAnsi="Times New Roman"/>
          <w:sz w:val="30"/>
          <w:szCs w:val="30"/>
          <w:lang w:bidi="en-US"/>
        </w:rPr>
        <w:t xml:space="preserve">и муниципальных служащих «</w:t>
      </w:r>
      <w:r>
        <w:rPr>
          <w:rFonts w:ascii="Times New Roman" w:hAnsi="Times New Roman"/>
          <w:sz w:val="30"/>
          <w:szCs w:val="30"/>
          <w:lang w:bidi="en-US"/>
        </w:rPr>
        <w:t xml:space="preserve">ГосСтарт</w:t>
      </w:r>
      <w:r>
        <w:rPr>
          <w:rFonts w:ascii="Times New Roman" w:hAnsi="Times New Roman"/>
          <w:sz w:val="30"/>
          <w:szCs w:val="30"/>
          <w:lang w:bidi="en-US"/>
        </w:rPr>
        <w:t xml:space="preserve">» (далее – Программа)</w:t>
      </w:r>
      <w:r>
        <w:rPr>
          <w:rFonts w:ascii="Times New Roman" w:hAnsi="Times New Roman"/>
          <w:sz w:val="30"/>
          <w:szCs w:val="30"/>
          <w:lang w:bidi="en-US"/>
        </w:rPr>
        <w:t xml:space="preserve">.</w:t>
      </w:r>
      <w:r>
        <w:rPr>
          <w:rFonts w:ascii="Times New Roman" w:hAnsi="Times New Roman"/>
          <w:sz w:val="30"/>
          <w:szCs w:val="30"/>
          <w:lang w:bidi="en-US"/>
        </w:rPr>
      </w:r>
      <w:r>
        <w:rPr>
          <w:rFonts w:ascii="Times New Roman" w:hAnsi="Times New Roman"/>
          <w:sz w:val="30"/>
          <w:szCs w:val="30"/>
          <w:lang w:bidi="en-US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30"/>
          <w:szCs w:val="30"/>
          <w:lang w:bidi="en-US"/>
        </w:rPr>
      </w:pPr>
      <w:r>
        <w:rPr>
          <w:rFonts w:ascii="Times New Roman" w:hAnsi="Times New Roman"/>
          <w:sz w:val="30"/>
          <w:szCs w:val="30"/>
          <w:lang w:bidi="en-US"/>
        </w:rPr>
        <w:t xml:space="preserve">В соответствии с п. 1</w:t>
      </w:r>
      <w:r>
        <w:rPr>
          <w:rFonts w:ascii="Times New Roman" w:hAnsi="Times New Roman"/>
          <w:sz w:val="30"/>
          <w:szCs w:val="30"/>
          <w:lang w:bidi="en-US"/>
        </w:rPr>
        <w:t xml:space="preserve">7</w:t>
      </w:r>
      <w:r>
        <w:rPr>
          <w:rFonts w:ascii="Times New Roman" w:hAnsi="Times New Roman"/>
          <w:sz w:val="30"/>
          <w:szCs w:val="30"/>
          <w:lang w:bidi="en-US"/>
        </w:rPr>
        <w:t xml:space="preserve"> Плана мероприятий </w:t>
      </w:r>
      <w:r>
        <w:rPr>
          <w:rFonts w:ascii="Times New Roman" w:hAnsi="Times New Roman"/>
          <w:sz w:val="30"/>
          <w:szCs w:val="30"/>
          <w:lang w:bidi="en-US"/>
        </w:rPr>
        <w:br/>
      </w:r>
      <w:r>
        <w:rPr>
          <w:rFonts w:ascii="Times New Roman" w:hAnsi="Times New Roman"/>
          <w:sz w:val="30"/>
          <w:szCs w:val="30"/>
          <w:lang w:bidi="en-US"/>
        </w:rPr>
        <w:t xml:space="preserve">Федерального агентства по делам молодежи в сфере реализации государственной молодежной политики на территории </w:t>
      </w:r>
      <w:r>
        <w:rPr>
          <w:rFonts w:ascii="Times New Roman" w:hAnsi="Times New Roman"/>
          <w:sz w:val="30"/>
          <w:szCs w:val="30"/>
          <w:lang w:bidi="en-US"/>
        </w:rPr>
        <w:br/>
      </w:r>
      <w:r>
        <w:rPr>
          <w:rFonts w:ascii="Times New Roman" w:hAnsi="Times New Roman"/>
          <w:sz w:val="30"/>
          <w:szCs w:val="30"/>
          <w:lang w:bidi="en-US"/>
        </w:rPr>
        <w:t xml:space="preserve">Российской Федерации на 2025 год, утвержденного приказом Росмолодежи от 2</w:t>
      </w:r>
      <w:r>
        <w:rPr>
          <w:rFonts w:ascii="Times New Roman" w:hAnsi="Times New Roman"/>
          <w:sz w:val="30"/>
          <w:szCs w:val="30"/>
          <w:lang w:bidi="en-US"/>
        </w:rPr>
        <w:t xml:space="preserve">9</w:t>
      </w:r>
      <w:r>
        <w:rPr>
          <w:rFonts w:ascii="Times New Roman" w:hAnsi="Times New Roman"/>
          <w:sz w:val="30"/>
          <w:szCs w:val="30"/>
          <w:lang w:bidi="en-US"/>
        </w:rPr>
        <w:t xml:space="preserve"> </w:t>
      </w:r>
      <w:r>
        <w:rPr>
          <w:rFonts w:ascii="Times New Roman" w:hAnsi="Times New Roman"/>
          <w:sz w:val="30"/>
          <w:szCs w:val="30"/>
          <w:lang w:bidi="en-US"/>
        </w:rPr>
        <w:t xml:space="preserve">апреля</w:t>
      </w:r>
      <w:r>
        <w:rPr>
          <w:rFonts w:ascii="Times New Roman" w:hAnsi="Times New Roman"/>
          <w:sz w:val="30"/>
          <w:szCs w:val="30"/>
          <w:lang w:bidi="en-US"/>
        </w:rPr>
        <w:t xml:space="preserve"> 2025 г. № 1</w:t>
      </w:r>
      <w:r>
        <w:rPr>
          <w:rFonts w:ascii="Times New Roman" w:hAnsi="Times New Roman"/>
          <w:sz w:val="30"/>
          <w:szCs w:val="30"/>
          <w:lang w:bidi="en-US"/>
        </w:rPr>
        <w:t xml:space="preserve">44</w:t>
      </w:r>
      <w:r>
        <w:rPr>
          <w:rFonts w:ascii="Times New Roman" w:hAnsi="Times New Roman"/>
          <w:sz w:val="30"/>
          <w:szCs w:val="30"/>
          <w:lang w:bidi="en-US"/>
        </w:rPr>
        <w:t xml:space="preserve">, Программа реализуется</w:t>
      </w:r>
      <w:r>
        <w:rPr>
          <w:rFonts w:ascii="Times New Roman" w:hAnsi="Times New Roman"/>
          <w:sz w:val="30"/>
          <w:szCs w:val="30"/>
          <w:lang w:bidi="en-US"/>
        </w:rPr>
        <w:t xml:space="preserve"> </w:t>
      </w:r>
      <w:r>
        <w:rPr>
          <w:rFonts w:ascii="Times New Roman" w:hAnsi="Times New Roman"/>
          <w:sz w:val="30"/>
          <w:szCs w:val="30"/>
          <w:lang w:bidi="en-US"/>
        </w:rPr>
        <w:t xml:space="preserve">по шести направлениям: «</w:t>
      </w:r>
      <w:r>
        <w:rPr>
          <w:rFonts w:ascii="Times New Roman" w:hAnsi="Times New Roman"/>
          <w:sz w:val="30"/>
          <w:szCs w:val="30"/>
          <w:lang w:bidi="en-US"/>
        </w:rPr>
        <w:t xml:space="preserve">ГосСтарт.Диалог</w:t>
      </w:r>
      <w:r>
        <w:rPr>
          <w:rFonts w:ascii="Times New Roman" w:hAnsi="Times New Roman"/>
          <w:sz w:val="30"/>
          <w:szCs w:val="30"/>
          <w:lang w:bidi="en-US"/>
        </w:rPr>
        <w:t xml:space="preserve">», «</w:t>
      </w:r>
      <w:r>
        <w:rPr>
          <w:rFonts w:ascii="Times New Roman" w:hAnsi="Times New Roman"/>
          <w:sz w:val="30"/>
          <w:szCs w:val="30"/>
          <w:lang w:bidi="en-US"/>
        </w:rPr>
        <w:t xml:space="preserve">ГосСтарт.Стажировки</w:t>
      </w:r>
      <w:r>
        <w:rPr>
          <w:rFonts w:ascii="Times New Roman" w:hAnsi="Times New Roman"/>
          <w:sz w:val="30"/>
          <w:szCs w:val="30"/>
          <w:lang w:bidi="en-US"/>
        </w:rPr>
        <w:t xml:space="preserve">», </w:t>
      </w:r>
      <w:r>
        <w:rPr>
          <w:rFonts w:ascii="Times New Roman" w:hAnsi="Times New Roman"/>
          <w:sz w:val="30"/>
          <w:szCs w:val="30"/>
          <w:lang w:bidi="en-US"/>
        </w:rPr>
        <w:br/>
      </w:r>
      <w:r>
        <w:rPr>
          <w:rFonts w:ascii="Times New Roman" w:hAnsi="Times New Roman"/>
          <w:sz w:val="30"/>
          <w:szCs w:val="30"/>
          <w:lang w:bidi="en-US"/>
        </w:rPr>
        <w:t xml:space="preserve">«Мастерская государственной и муниципальной службы», «Молодежные советы», «</w:t>
      </w:r>
      <w:r>
        <w:rPr>
          <w:rFonts w:ascii="Times New Roman" w:hAnsi="Times New Roman"/>
          <w:sz w:val="30"/>
          <w:szCs w:val="30"/>
          <w:lang w:bidi="en-US"/>
        </w:rPr>
        <w:t xml:space="preserve">Доброслужащий</w:t>
      </w:r>
      <w:r>
        <w:rPr>
          <w:rFonts w:ascii="Times New Roman" w:hAnsi="Times New Roman"/>
          <w:sz w:val="30"/>
          <w:szCs w:val="30"/>
          <w:lang w:bidi="en-US"/>
        </w:rPr>
        <w:t xml:space="preserve">», «</w:t>
      </w:r>
      <w:r>
        <w:rPr>
          <w:rFonts w:ascii="Times New Roman" w:hAnsi="Times New Roman"/>
          <w:sz w:val="30"/>
          <w:szCs w:val="30"/>
          <w:lang w:bidi="en-US"/>
        </w:rPr>
        <w:t xml:space="preserve">ГосСтарт.Политика</w:t>
      </w:r>
      <w:r>
        <w:rPr>
          <w:rFonts w:ascii="Times New Roman" w:hAnsi="Times New Roman"/>
          <w:sz w:val="30"/>
          <w:szCs w:val="30"/>
          <w:lang w:bidi="en-US"/>
        </w:rPr>
        <w:t xml:space="preserve">».</w:t>
      </w:r>
      <w:r>
        <w:rPr>
          <w:rFonts w:ascii="Times New Roman" w:hAnsi="Times New Roman"/>
          <w:sz w:val="30"/>
          <w:szCs w:val="30"/>
          <w:lang w:bidi="en-US"/>
        </w:rPr>
      </w:r>
      <w:r>
        <w:rPr>
          <w:rFonts w:ascii="Times New Roman" w:hAnsi="Times New Roman"/>
          <w:sz w:val="30"/>
          <w:szCs w:val="30"/>
          <w:lang w:bidi="en-US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30"/>
          <w:szCs w:val="30"/>
          <w:lang w:bidi="en-US"/>
        </w:rPr>
      </w:pPr>
      <w:r>
        <w:rPr>
          <w:rFonts w:ascii="Times New Roman" w:hAnsi="Times New Roman"/>
          <w:sz w:val="30"/>
          <w:szCs w:val="30"/>
          <w:lang w:bidi="en-US"/>
        </w:rPr>
        <w:t xml:space="preserve">Одним из направлений Программы является направление «</w:t>
      </w:r>
      <w:r>
        <w:rPr>
          <w:rFonts w:ascii="Times New Roman" w:hAnsi="Times New Roman"/>
          <w:sz w:val="30"/>
          <w:szCs w:val="30"/>
          <w:lang w:bidi="en-US"/>
        </w:rPr>
        <w:t xml:space="preserve">ГосСтарт.Стажировки</w:t>
      </w:r>
      <w:r>
        <w:rPr>
          <w:rFonts w:ascii="Times New Roman" w:hAnsi="Times New Roman"/>
          <w:sz w:val="30"/>
          <w:szCs w:val="30"/>
          <w:lang w:bidi="en-US"/>
        </w:rPr>
        <w:t xml:space="preserve">» (далее – </w:t>
      </w:r>
      <w:r>
        <w:rPr>
          <w:rFonts w:ascii="Times New Roman" w:hAnsi="Times New Roman"/>
          <w:sz w:val="30"/>
          <w:szCs w:val="30"/>
          <w:lang w:bidi="en-US"/>
        </w:rPr>
        <w:t xml:space="preserve">Стажировки</w:t>
      </w:r>
      <w:r>
        <w:rPr>
          <w:rFonts w:ascii="Times New Roman" w:hAnsi="Times New Roman"/>
          <w:sz w:val="30"/>
          <w:szCs w:val="30"/>
          <w:lang w:bidi="en-US"/>
        </w:rPr>
        <w:t xml:space="preserve">), в рамках которого реализуются неоплачиваемые стажировки в федеральных государственных органах</w:t>
      </w:r>
      <w:r>
        <w:rPr>
          <w:rFonts w:ascii="Times New Roman" w:hAnsi="Times New Roman"/>
          <w:sz w:val="30"/>
          <w:szCs w:val="30"/>
          <w:lang w:bidi="en-US"/>
        </w:rPr>
        <w:t xml:space="preserve"> (далее – федеральный этап)</w:t>
      </w:r>
      <w:r>
        <w:rPr>
          <w:rFonts w:ascii="Times New Roman" w:hAnsi="Times New Roman"/>
          <w:sz w:val="30"/>
          <w:szCs w:val="30"/>
          <w:lang w:bidi="en-US"/>
        </w:rPr>
        <w:t xml:space="preserve">, исполнительных органах субъектов Российской Федерации, а также в органах местного самоуправления</w:t>
      </w:r>
      <w:r>
        <w:rPr>
          <w:rFonts w:ascii="Times New Roman" w:hAnsi="Times New Roman"/>
          <w:sz w:val="30"/>
          <w:szCs w:val="30"/>
          <w:lang w:bidi="en-US"/>
        </w:rPr>
        <w:t xml:space="preserve"> (далее – региональный этап) </w:t>
      </w:r>
      <w:r>
        <w:rPr>
          <w:rFonts w:ascii="Times New Roman" w:hAnsi="Times New Roman"/>
          <w:sz w:val="30"/>
          <w:szCs w:val="30"/>
          <w:lang w:bidi="en-US"/>
        </w:rPr>
        <w:t xml:space="preserve">с целью повышения привлекательности государственной и муниципальной службы.</w:t>
      </w:r>
      <w:r>
        <w:rPr>
          <w:rFonts w:ascii="Times New Roman" w:hAnsi="Times New Roman"/>
          <w:sz w:val="30"/>
          <w:szCs w:val="30"/>
          <w:lang w:bidi="en-US"/>
        </w:rPr>
      </w:r>
      <w:r>
        <w:rPr>
          <w:rFonts w:ascii="Times New Roman" w:hAnsi="Times New Roman"/>
          <w:sz w:val="30"/>
          <w:szCs w:val="30"/>
          <w:lang w:bidi="en-US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Arial Unicode MS" w:cs="Arial Unicode MS"/>
          <w:color w:val="000000"/>
          <w:sz w:val="30"/>
          <w:szCs w:val="30"/>
          <w:shd w:val="clear" w:color="auto" w:fill="ffffff"/>
          <w:lang w:eastAsia="ru-RU"/>
        </w:rPr>
      </w:pPr>
      <w:r>
        <w:rPr>
          <w:rFonts w:ascii="Times New Roman" w:hAnsi="Times New Roman" w:eastAsia="Arial Unicode MS" w:cs="Arial Unicode MS"/>
          <w:color w:val="000000"/>
          <w:sz w:val="30"/>
          <w:szCs w:val="30"/>
          <w:shd w:val="clear" w:color="auto" w:fill="ffffff"/>
          <w:lang w:eastAsia="ru-RU"/>
        </w:rPr>
        <w:t xml:space="preserve">Участниками могут стать граждане от 18 до 35 лет включительно, относящиеся к одной из категорий:</w:t>
      </w:r>
      <w:r>
        <w:rPr>
          <w:rFonts w:ascii="Times New Roman" w:hAnsi="Times New Roman" w:eastAsia="Arial Unicode MS" w:cs="Arial Unicode MS"/>
          <w:color w:val="000000"/>
          <w:sz w:val="30"/>
          <w:szCs w:val="30"/>
          <w:shd w:val="clear" w:color="auto" w:fill="ffffff"/>
          <w:lang w:eastAsia="ru-RU"/>
        </w:rPr>
      </w:r>
      <w:r>
        <w:rPr>
          <w:rFonts w:ascii="Times New Roman" w:hAnsi="Times New Roman" w:eastAsia="Arial Unicode MS" w:cs="Arial Unicode MS"/>
          <w:color w:val="000000"/>
          <w:sz w:val="30"/>
          <w:szCs w:val="30"/>
          <w:shd w:val="clear" w:color="auto" w:fill="ffffff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Arial Unicode MS" w:cs="Arial Unicode MS"/>
          <w:color w:val="000000"/>
          <w:sz w:val="30"/>
          <w:szCs w:val="30"/>
          <w:shd w:val="clear" w:color="auto" w:fill="ffffff"/>
          <w:lang w:eastAsia="ru-RU"/>
        </w:rPr>
      </w:pPr>
      <w:r>
        <w:rPr>
          <w:rFonts w:ascii="Times New Roman" w:hAnsi="Times New Roman" w:eastAsia="Arial Unicode MS" w:cs="Arial Unicode MS"/>
          <w:color w:val="000000"/>
          <w:sz w:val="30"/>
          <w:szCs w:val="30"/>
          <w:shd w:val="clear" w:color="auto" w:fill="ffffff"/>
          <w:lang w:eastAsia="ru-RU"/>
        </w:rPr>
        <w:t xml:space="preserve">1)</w:t>
      </w:r>
      <w:r>
        <w:rPr>
          <w:rFonts w:ascii="Times New Roman" w:hAnsi="Times New Roman" w:eastAsia="Arial Unicode MS" w:cs="Arial Unicode MS"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eastAsia="Arial Unicode MS" w:cs="Arial Unicode MS"/>
          <w:color w:val="000000"/>
          <w:sz w:val="30"/>
          <w:szCs w:val="30"/>
          <w:shd w:val="clear" w:color="auto" w:fill="ffffff"/>
          <w:lang w:eastAsia="ru-RU"/>
        </w:rPr>
        <w:t xml:space="preserve">лицо, обучающееся по образовательным программам высшего образования (</w:t>
      </w:r>
      <w:r>
        <w:rPr>
          <w:rFonts w:ascii="Times New Roman" w:hAnsi="Times New Roman" w:eastAsia="Arial Unicode MS" w:cs="Arial Unicode MS"/>
          <w:color w:val="000000"/>
          <w:sz w:val="30"/>
          <w:szCs w:val="30"/>
          <w:shd w:val="clear" w:color="auto" w:fill="ffffff"/>
          <w:lang w:eastAsia="ru-RU"/>
        </w:rPr>
        <w:t xml:space="preserve">по </w:t>
      </w:r>
      <w:r>
        <w:rPr>
          <w:rFonts w:ascii="Times New Roman" w:hAnsi="Times New Roman" w:eastAsia="Arial Unicode MS" w:cs="Arial Unicode MS"/>
          <w:color w:val="000000"/>
          <w:sz w:val="30"/>
          <w:szCs w:val="30"/>
          <w:shd w:val="clear" w:color="auto" w:fill="ffffff"/>
          <w:lang w:eastAsia="ru-RU"/>
        </w:rPr>
        <w:t xml:space="preserve">программам бакалавриата и программам специалитета старше</w:t>
      </w:r>
      <w:r>
        <w:rPr>
          <w:rFonts w:ascii="Times New Roman" w:hAnsi="Times New Roman" w:eastAsia="Arial Unicode MS" w:cs="Arial Unicode MS"/>
          <w:color w:val="000000"/>
          <w:sz w:val="30"/>
          <w:szCs w:val="30"/>
          <w:shd w:val="clear" w:color="auto" w:fill="ffffff"/>
          <w:lang w:eastAsia="ru-RU"/>
        </w:rPr>
        <w:t xml:space="preserve"> 4 курса</w:t>
      </w:r>
      <w:r>
        <w:rPr>
          <w:rFonts w:ascii="Times New Roman" w:hAnsi="Times New Roman" w:eastAsia="Arial Unicode MS" w:cs="Arial Unicode MS"/>
          <w:color w:val="000000"/>
          <w:sz w:val="30"/>
          <w:szCs w:val="30"/>
          <w:shd w:val="clear" w:color="auto" w:fill="ffffff"/>
          <w:lang w:eastAsia="ru-RU"/>
        </w:rPr>
        <w:t xml:space="preserve">);</w:t>
      </w:r>
      <w:r>
        <w:rPr>
          <w:rFonts w:ascii="Times New Roman" w:hAnsi="Times New Roman" w:eastAsia="Arial Unicode MS" w:cs="Arial Unicode MS"/>
          <w:color w:val="000000"/>
          <w:sz w:val="30"/>
          <w:szCs w:val="30"/>
          <w:shd w:val="clear" w:color="auto" w:fill="ffffff"/>
          <w:lang w:eastAsia="ru-RU"/>
        </w:rPr>
      </w:r>
      <w:r>
        <w:rPr>
          <w:rFonts w:ascii="Times New Roman" w:hAnsi="Times New Roman" w:eastAsia="Arial Unicode MS" w:cs="Arial Unicode MS"/>
          <w:color w:val="000000"/>
          <w:sz w:val="30"/>
          <w:szCs w:val="30"/>
          <w:shd w:val="clear" w:color="auto" w:fill="ffffff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Arial Unicode MS" w:cs="Arial Unicode MS"/>
          <w:color w:val="000000"/>
          <w:sz w:val="30"/>
          <w:szCs w:val="30"/>
          <w:shd w:val="clear" w:color="auto" w:fill="ffffff"/>
          <w:lang w:eastAsia="ru-RU"/>
        </w:rPr>
      </w:pPr>
      <w:r>
        <w:rPr>
          <w:rFonts w:ascii="Times New Roman" w:hAnsi="Times New Roman" w:eastAsia="Arial Unicode MS" w:cs="Arial Unicode MS"/>
          <w:color w:val="000000"/>
          <w:sz w:val="30"/>
          <w:szCs w:val="30"/>
          <w:shd w:val="clear" w:color="auto" w:fill="ffffff"/>
          <w:lang w:eastAsia="ru-RU"/>
        </w:rPr>
        <w:t xml:space="preserve">2) лицо, проходящее государственную или муниципальную службу, или являющееся работником организаций, подведомственных исполнительным органам субъекта Российской Федерации или органам местного самоуправления муниципального образования, </w:t>
      </w:r>
      <w:r>
        <w:rPr>
          <w:rFonts w:ascii="Times New Roman" w:hAnsi="Times New Roman" w:eastAsia="Arial Unicode MS" w:cs="Arial Unicode MS"/>
          <w:color w:val="000000"/>
          <w:sz w:val="30"/>
          <w:szCs w:val="30"/>
          <w:shd w:val="clear" w:color="auto" w:fill="ffffff"/>
          <w:lang w:eastAsia="ru-RU"/>
        </w:rPr>
        <w:br/>
      </w:r>
      <w:r>
        <w:rPr>
          <w:rFonts w:ascii="Times New Roman" w:hAnsi="Times New Roman" w:eastAsia="Arial Unicode MS" w:cs="Arial Unicode MS"/>
          <w:color w:val="000000"/>
          <w:sz w:val="30"/>
          <w:szCs w:val="30"/>
          <w:shd w:val="clear" w:color="auto" w:fill="ffffff"/>
          <w:lang w:eastAsia="ru-RU"/>
        </w:rPr>
        <w:t xml:space="preserve">а также организаций, учредителем которых является субъект Российской Федерации</w:t>
      </w:r>
      <w:r>
        <w:rPr>
          <w:rFonts w:ascii="Times New Roman" w:hAnsi="Times New Roman" w:eastAsia="Arial Unicode MS" w:cs="Arial Unicode MS"/>
          <w:color w:val="000000"/>
          <w:sz w:val="30"/>
          <w:szCs w:val="30"/>
          <w:shd w:val="clear" w:color="auto" w:fill="ffffff"/>
          <w:lang w:eastAsia="ru-RU"/>
        </w:rPr>
        <w:t xml:space="preserve">.</w:t>
      </w:r>
      <w:r>
        <w:rPr>
          <w:rFonts w:ascii="Times New Roman" w:hAnsi="Times New Roman" w:eastAsia="Arial Unicode MS" w:cs="Arial Unicode MS"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eastAsia="Arial Unicode MS" w:cs="Arial Unicode MS"/>
          <w:color w:val="000000"/>
          <w:sz w:val="30"/>
          <w:szCs w:val="30"/>
          <w:shd w:val="clear" w:color="auto" w:fill="ffffff"/>
          <w:lang w:eastAsia="ru-RU"/>
        </w:rPr>
      </w:r>
      <w:r>
        <w:rPr>
          <w:rFonts w:ascii="Times New Roman" w:hAnsi="Times New Roman" w:eastAsia="Arial Unicode MS" w:cs="Arial Unicode MS"/>
          <w:color w:val="000000"/>
          <w:sz w:val="30"/>
          <w:szCs w:val="30"/>
          <w:shd w:val="clear" w:color="auto" w:fill="ffffff"/>
          <w:lang w:eastAsia="ru-RU"/>
        </w:rPr>
      </w:r>
    </w:p>
    <w:p>
      <w:pPr>
        <w:pStyle w:val="928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За весь период</w:t>
      </w:r>
      <w:r>
        <w:rPr>
          <w:rFonts w:ascii="Times New Roman" w:hAnsi="Times New Roman" w:cs="Times New Roman"/>
          <w:sz w:val="30"/>
          <w:szCs w:val="30"/>
        </w:rPr>
        <w:t xml:space="preserve"> ре</w:t>
      </w:r>
      <w:r>
        <w:rPr>
          <w:rFonts w:ascii="Times New Roman" w:hAnsi="Times New Roman" w:cs="Times New Roman"/>
          <w:sz w:val="30"/>
          <w:szCs w:val="30"/>
        </w:rPr>
        <w:t xml:space="preserve">ализации Программы 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было подано более 8000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заяв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ок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на </w:t>
      </w:r>
      <w:r>
        <w:rPr>
          <w:rFonts w:ascii="Times New Roman" w:hAnsi="Times New Roman" w:cs="Times New Roman"/>
          <w:sz w:val="30"/>
          <w:szCs w:val="30"/>
        </w:rPr>
        <w:t xml:space="preserve">участие</w:t>
      </w:r>
      <w:r>
        <w:rPr>
          <w:rFonts w:ascii="Times New Roman" w:hAnsi="Times New Roman" w:cs="Times New Roman"/>
          <w:sz w:val="30"/>
          <w:szCs w:val="30"/>
        </w:rPr>
        <w:t xml:space="preserve"> в Стажировках</w:t>
      </w:r>
      <w:r>
        <w:rPr>
          <w:rFonts w:ascii="Times New Roman" w:hAnsi="Times New Roman" w:cs="Times New Roman"/>
          <w:sz w:val="30"/>
          <w:szCs w:val="30"/>
        </w:rPr>
        <w:t xml:space="preserve">. По итогам реализации Программы более 150 человек стали государственными служащими. Так, например, 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Овсянко Владислав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из Санкт-Петербурга после окончания стажировки был трудоустроен в</w:t>
      </w:r>
      <w:r>
        <w:rPr>
          <w:rFonts w:ascii="Times New Roman" w:hAnsi="Times New Roman" w:cs="Times New Roman"/>
          <w:sz w:val="30"/>
          <w:szCs w:val="30"/>
        </w:rPr>
        <w:t xml:space="preserve"> Министерство культуры Российской Федерации в Департамент государственной поддержки искусства и народного творчества как специалист референтуры</w:t>
      </w:r>
      <w:r>
        <w:rPr>
          <w:rFonts w:ascii="Times New Roman" w:hAnsi="Times New Roman" w:cs="Times New Roman"/>
          <w:sz w:val="30"/>
          <w:szCs w:val="30"/>
        </w:rPr>
        <w:t xml:space="preserve">,</w:t>
      </w:r>
      <w:r>
        <w:rPr>
          <w:rFonts w:ascii="Times New Roman" w:hAnsi="Times New Roman" w:cs="Times New Roman"/>
          <w:sz w:val="30"/>
          <w:szCs w:val="30"/>
        </w:rPr>
        <w:t xml:space="preserve"> а 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Груднов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Дмитрий</w:t>
      </w:r>
      <w:r>
        <w:rPr>
          <w:rFonts w:ascii="Times New Roman" w:hAnsi="Times New Roman" w:cs="Times New Roman"/>
          <w:sz w:val="30"/>
          <w:szCs w:val="30"/>
        </w:rPr>
        <w:t xml:space="preserve"> </w:t>
        <w:br/>
        <w:t xml:space="preserve">из Томской области сразу после стажировки</w:t>
      </w:r>
      <w:r>
        <w:rPr>
          <w:rFonts w:ascii="Times New Roman" w:hAnsi="Times New Roman" w:cs="Times New Roman"/>
          <w:sz w:val="30"/>
          <w:szCs w:val="30"/>
        </w:rPr>
        <w:t xml:space="preserve"> в </w:t>
      </w:r>
      <w:r>
        <w:rPr>
          <w:rFonts w:ascii="Times New Roman" w:hAnsi="Times New Roman" w:cs="Times New Roman"/>
          <w:sz w:val="30"/>
          <w:szCs w:val="30"/>
        </w:rPr>
        <w:t xml:space="preserve">Департамент</w:t>
      </w:r>
      <w:r>
        <w:rPr>
          <w:rFonts w:ascii="Times New Roman" w:hAnsi="Times New Roman" w:cs="Times New Roman"/>
          <w:sz w:val="30"/>
          <w:szCs w:val="30"/>
        </w:rPr>
        <w:t xml:space="preserve">е</w:t>
      </w:r>
      <w:r>
        <w:rPr>
          <w:rFonts w:ascii="Times New Roman" w:hAnsi="Times New Roman" w:cs="Times New Roman"/>
          <w:sz w:val="30"/>
          <w:szCs w:val="30"/>
        </w:rPr>
        <w:t xml:space="preserve"> развития облачных сервисов</w:t>
      </w:r>
      <w:r>
        <w:rPr>
          <w:rFonts w:ascii="Times New Roman" w:hAnsi="Times New Roman" w:cs="Times New Roman"/>
          <w:sz w:val="30"/>
          <w:szCs w:val="30"/>
        </w:rPr>
        <w:t xml:space="preserve"> Министерства </w:t>
      </w:r>
      <w:r>
        <w:rPr>
          <w:rFonts w:ascii="Times New Roman" w:hAnsi="Times New Roman" w:cs="Times New Roman"/>
          <w:sz w:val="30"/>
          <w:szCs w:val="30"/>
        </w:rPr>
        <w:t xml:space="preserve">цифрового развития, связи и массовых коммуникаций Российской Федерации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был приглашен на работу в этом подразделении.</w:t>
      </w: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928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2025 году планируется проведение федерального этапа Стажировки с участие</w:t>
      </w:r>
      <w:r>
        <w:rPr>
          <w:rFonts w:ascii="Times New Roman" w:hAnsi="Times New Roman" w:cs="Times New Roman"/>
          <w:sz w:val="30"/>
          <w:szCs w:val="30"/>
        </w:rPr>
        <w:t xml:space="preserve">м 250</w:t>
      </w:r>
      <w:r>
        <w:rPr>
          <w:rFonts w:ascii="Times New Roman" w:hAnsi="Times New Roman" w:cs="Times New Roman"/>
          <w:sz w:val="30"/>
          <w:szCs w:val="30"/>
        </w:rPr>
        <w:t xml:space="preserve"> представителей </w:t>
      </w:r>
      <w:r>
        <w:rPr>
          <w:rFonts w:ascii="Times New Roman" w:hAnsi="Times New Roman" w:cs="Times New Roman"/>
          <w:sz w:val="30"/>
          <w:szCs w:val="30"/>
        </w:rPr>
        <w:t xml:space="preserve">из более, чем</w:t>
      </w:r>
      <w:r>
        <w:rPr>
          <w:rFonts w:ascii="Times New Roman" w:hAnsi="Times New Roman" w:cs="Times New Roman"/>
          <w:sz w:val="30"/>
          <w:szCs w:val="30"/>
        </w:rPr>
        <w:t xml:space="preserve"> 75 субъектов Российской Федерации. </w:t>
      </w:r>
      <w:r>
        <w:rPr>
          <w:rFonts w:ascii="Times New Roman" w:hAnsi="Times New Roman" w:cs="Times New Roman"/>
          <w:sz w:val="30"/>
          <w:szCs w:val="30"/>
        </w:rPr>
        <w:t xml:space="preserve">Продолжительность стажировки составляет две недели. Проезд и проживание участников будет осуществляться принимающей стороной при поддержке Автономной некоммерческой организации «Больше, чем путешествие».</w:t>
      </w: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928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10 октября 2025 года запланировано т</w:t>
      </w:r>
      <w:r>
        <w:rPr>
          <w:rFonts w:ascii="Times New Roman" w:hAnsi="Times New Roman" w:cs="Times New Roman"/>
          <w:sz w:val="30"/>
          <w:szCs w:val="30"/>
        </w:rPr>
        <w:t xml:space="preserve">оржественное открытие федерального этапа </w:t>
      </w:r>
      <w:r>
        <w:rPr>
          <w:rFonts w:ascii="Times New Roman" w:hAnsi="Times New Roman" w:cs="Times New Roman"/>
          <w:sz w:val="30"/>
          <w:szCs w:val="30"/>
        </w:rPr>
        <w:t xml:space="preserve">направления «</w:t>
      </w:r>
      <w:r>
        <w:rPr>
          <w:rFonts w:ascii="Times New Roman" w:hAnsi="Times New Roman" w:cs="Times New Roman"/>
          <w:sz w:val="30"/>
          <w:szCs w:val="30"/>
        </w:rPr>
        <w:t xml:space="preserve">ГосСтарт.Стажировки</w:t>
      </w:r>
      <w:r>
        <w:rPr>
          <w:rFonts w:ascii="Times New Roman" w:hAnsi="Times New Roman" w:cs="Times New Roman"/>
          <w:sz w:val="30"/>
          <w:szCs w:val="30"/>
        </w:rPr>
        <w:t xml:space="preserve">»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на площадке национального центра «Россия».</w:t>
      </w:r>
      <w:r>
        <w:rPr>
          <w:rFonts w:ascii="Times New Roman" w:hAnsi="Times New Roman" w:cs="Times New Roman"/>
          <w:sz w:val="30"/>
          <w:szCs w:val="30"/>
        </w:rPr>
        <w:t xml:space="preserve"> В рамках программы </w:t>
      </w:r>
      <w:r>
        <w:rPr>
          <w:rFonts w:ascii="Times New Roman" w:hAnsi="Times New Roman" w:cs="Times New Roman"/>
          <w:sz w:val="30"/>
          <w:szCs w:val="30"/>
        </w:rPr>
        <w:t xml:space="preserve">запланирован</w:t>
      </w:r>
      <w:r>
        <w:rPr>
          <w:rFonts w:ascii="Times New Roman" w:hAnsi="Times New Roman" w:cs="Times New Roman"/>
          <w:sz w:val="30"/>
          <w:szCs w:val="30"/>
        </w:rPr>
        <w:t xml:space="preserve">о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приветственное слово приглашенных гостей, </w:t>
      </w:r>
      <w:r>
        <w:rPr>
          <w:rFonts w:ascii="Times New Roman" w:hAnsi="Times New Roman" w:cs="Times New Roman"/>
          <w:sz w:val="30"/>
          <w:szCs w:val="30"/>
        </w:rPr>
        <w:t xml:space="preserve">проведение установочного совещания для участников, мастер-класс</w:t>
      </w:r>
      <w:r>
        <w:rPr>
          <w:rFonts w:ascii="Times New Roman" w:hAnsi="Times New Roman" w:cs="Times New Roman"/>
          <w:sz w:val="30"/>
          <w:szCs w:val="30"/>
        </w:rPr>
        <w:t xml:space="preserve">ы и </w:t>
      </w:r>
      <w:r>
        <w:rPr>
          <w:rFonts w:ascii="Times New Roman" w:hAnsi="Times New Roman" w:cs="Times New Roman"/>
          <w:sz w:val="30"/>
          <w:szCs w:val="30"/>
        </w:rPr>
        <w:t xml:space="preserve">мероприятия </w:t>
      </w:r>
      <w:r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 xml:space="preserve">по командообразованию.</w:t>
      </w: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928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рамках федерального этапа </w:t>
      </w:r>
      <w:r>
        <w:rPr>
          <w:rFonts w:ascii="Times New Roman" w:hAnsi="Times New Roman" w:cs="Times New Roman"/>
          <w:sz w:val="30"/>
          <w:szCs w:val="30"/>
        </w:rPr>
        <w:t xml:space="preserve">направления «</w:t>
      </w:r>
      <w:r>
        <w:rPr>
          <w:rFonts w:ascii="Times New Roman" w:hAnsi="Times New Roman" w:cs="Times New Roman"/>
          <w:sz w:val="30"/>
          <w:szCs w:val="30"/>
        </w:rPr>
        <w:t xml:space="preserve">ГосСтарт.Стажировки</w:t>
      </w:r>
      <w:r>
        <w:rPr>
          <w:rFonts w:ascii="Times New Roman" w:hAnsi="Times New Roman" w:cs="Times New Roman"/>
          <w:sz w:val="30"/>
          <w:szCs w:val="30"/>
        </w:rPr>
        <w:t xml:space="preserve">»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участников ожидает</w:t>
      </w:r>
      <w:r>
        <w:rPr>
          <w:rFonts w:ascii="Times New Roman" w:hAnsi="Times New Roman" w:cs="Times New Roman"/>
          <w:sz w:val="30"/>
          <w:szCs w:val="30"/>
        </w:rPr>
        <w:t xml:space="preserve"> стажировка в федеральных государственных органах,</w:t>
      </w:r>
      <w:r>
        <w:rPr>
          <w:rFonts w:ascii="Times New Roman" w:hAnsi="Times New Roman" w:cs="Times New Roman"/>
          <w:sz w:val="30"/>
          <w:szCs w:val="30"/>
        </w:rPr>
        <w:t xml:space="preserve"> экскурси</w:t>
      </w:r>
      <w:r>
        <w:rPr>
          <w:rFonts w:ascii="Times New Roman" w:hAnsi="Times New Roman" w:cs="Times New Roman"/>
          <w:sz w:val="30"/>
          <w:szCs w:val="30"/>
        </w:rPr>
        <w:t xml:space="preserve">и</w:t>
      </w:r>
      <w:r>
        <w:rPr>
          <w:rFonts w:ascii="Times New Roman" w:hAnsi="Times New Roman" w:cs="Times New Roman"/>
          <w:sz w:val="30"/>
          <w:szCs w:val="30"/>
        </w:rPr>
        <w:t xml:space="preserve"> по достопримечательностям г. Москвы</w:t>
      </w:r>
      <w:r>
        <w:rPr>
          <w:rFonts w:ascii="Times New Roman" w:hAnsi="Times New Roman" w:cs="Times New Roman"/>
          <w:sz w:val="30"/>
          <w:szCs w:val="30"/>
        </w:rPr>
        <w:t xml:space="preserve">, а также образовательная программа от Круглогодичного молодежного образовательного центра «</w:t>
      </w:r>
      <w:r>
        <w:rPr>
          <w:rFonts w:ascii="Times New Roman" w:hAnsi="Times New Roman" w:cs="Times New Roman"/>
          <w:sz w:val="30"/>
          <w:szCs w:val="30"/>
        </w:rPr>
        <w:t xml:space="preserve">ГосСтарт</w:t>
      </w:r>
      <w:r>
        <w:rPr>
          <w:rFonts w:ascii="Times New Roman" w:hAnsi="Times New Roman" w:cs="Times New Roman"/>
          <w:sz w:val="30"/>
          <w:szCs w:val="30"/>
        </w:rPr>
        <w:t xml:space="preserve">», проведение ассесмента </w:t>
      </w:r>
      <w:r>
        <w:rPr>
          <w:rFonts w:ascii="Times New Roman" w:hAnsi="Times New Roman" w:cs="Times New Roman"/>
          <w:sz w:val="30"/>
          <w:szCs w:val="30"/>
        </w:rPr>
        <w:t xml:space="preserve">и оценк</w:t>
      </w:r>
      <w:r>
        <w:rPr>
          <w:rFonts w:ascii="Times New Roman" w:hAnsi="Times New Roman" w:cs="Times New Roman"/>
          <w:sz w:val="30"/>
          <w:szCs w:val="30"/>
        </w:rPr>
        <w:t xml:space="preserve">а профессиональных </w:t>
      </w:r>
      <w:r>
        <w:rPr>
          <w:rFonts w:ascii="Times New Roman" w:hAnsi="Times New Roman" w:cs="Times New Roman"/>
          <w:sz w:val="30"/>
          <w:szCs w:val="30"/>
        </w:rPr>
        <w:t xml:space="preserve">компетенций.</w:t>
      </w: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928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</w:t>
      </w:r>
      <w:r>
        <w:rPr>
          <w:rFonts w:ascii="Times New Roman" w:hAnsi="Times New Roman" w:cs="Times New Roman"/>
          <w:sz w:val="30"/>
          <w:szCs w:val="30"/>
        </w:rPr>
        <w:t xml:space="preserve">о итогам </w:t>
      </w:r>
      <w:r>
        <w:rPr>
          <w:rFonts w:ascii="Times New Roman" w:hAnsi="Times New Roman" w:cs="Times New Roman"/>
          <w:sz w:val="30"/>
          <w:szCs w:val="30"/>
        </w:rPr>
        <w:t xml:space="preserve">федерального этапа </w:t>
      </w:r>
      <w:r>
        <w:rPr>
          <w:rFonts w:ascii="Times New Roman" w:hAnsi="Times New Roman" w:cs="Times New Roman"/>
          <w:sz w:val="30"/>
          <w:szCs w:val="30"/>
        </w:rPr>
        <w:t xml:space="preserve">направления «</w:t>
      </w:r>
      <w:r>
        <w:rPr>
          <w:rFonts w:ascii="Times New Roman" w:hAnsi="Times New Roman" w:cs="Times New Roman"/>
          <w:sz w:val="30"/>
          <w:szCs w:val="30"/>
        </w:rPr>
        <w:t xml:space="preserve">ГосСтарт.Стажировки</w:t>
      </w:r>
      <w:r>
        <w:rPr>
          <w:rFonts w:ascii="Times New Roman" w:hAnsi="Times New Roman" w:cs="Times New Roman"/>
          <w:sz w:val="30"/>
          <w:szCs w:val="30"/>
        </w:rPr>
        <w:t xml:space="preserve">»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будет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сформирован рейтинг 50 лучших стажеров, рекомендованных к трудоустройству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в федеральные </w:t>
      </w:r>
      <w:r>
        <w:rPr>
          <w:rFonts w:ascii="Times New Roman" w:hAnsi="Times New Roman" w:cs="Times New Roman"/>
          <w:sz w:val="30"/>
          <w:szCs w:val="30"/>
        </w:rPr>
        <w:t xml:space="preserve">государственные органы</w:t>
      </w:r>
      <w:r>
        <w:rPr>
          <w:rFonts w:ascii="Times New Roman" w:hAnsi="Times New Roman" w:cs="Times New Roman"/>
          <w:sz w:val="30"/>
          <w:szCs w:val="30"/>
        </w:rPr>
        <w:t xml:space="preserve">, а также </w:t>
      </w:r>
      <w:r>
        <w:rPr>
          <w:rFonts w:ascii="Times New Roman" w:hAnsi="Times New Roman" w:cs="Times New Roman"/>
          <w:sz w:val="30"/>
          <w:szCs w:val="30"/>
        </w:rPr>
        <w:t xml:space="preserve">сформирована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и подобрана индивидуальная </w:t>
      </w:r>
      <w:r>
        <w:rPr>
          <w:rFonts w:ascii="Times New Roman" w:hAnsi="Times New Roman" w:cs="Times New Roman"/>
          <w:sz w:val="30"/>
          <w:szCs w:val="30"/>
        </w:rPr>
        <w:t xml:space="preserve">карьерная траектория развития кандидатов. </w:t>
      </w: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928"/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sz w:val="30"/>
          <w:szCs w:val="30"/>
        </w:rPr>
        <w:t xml:space="preserve">Торжественное закрытие </w:t>
      </w:r>
      <w:r>
        <w:rPr>
          <w:rFonts w:ascii="Times New Roman" w:hAnsi="Times New Roman" w:cs="Times New Roman"/>
          <w:sz w:val="30"/>
          <w:szCs w:val="30"/>
        </w:rPr>
        <w:t xml:space="preserve">второго потока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федерального этапа направления «</w:t>
      </w:r>
      <w:r>
        <w:rPr>
          <w:rFonts w:ascii="Times New Roman" w:hAnsi="Times New Roman" w:cs="Times New Roman"/>
          <w:sz w:val="30"/>
          <w:szCs w:val="30"/>
        </w:rPr>
        <w:t xml:space="preserve">ГосСтарт.Стажировки</w:t>
      </w:r>
      <w:r>
        <w:rPr>
          <w:rFonts w:ascii="Times New Roman" w:hAnsi="Times New Roman" w:cs="Times New Roman"/>
          <w:sz w:val="30"/>
          <w:szCs w:val="30"/>
        </w:rPr>
        <w:t xml:space="preserve">»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планируется</w:t>
      </w:r>
      <w:r>
        <w:rPr>
          <w:rFonts w:ascii="Times New Roman" w:hAnsi="Times New Roman" w:cs="Times New Roman"/>
          <w:sz w:val="30"/>
          <w:szCs w:val="30"/>
        </w:rPr>
        <w:t xml:space="preserve"> 2</w:t>
      </w:r>
      <w:r>
        <w:rPr>
          <w:rFonts w:ascii="Times New Roman" w:hAnsi="Times New Roman" w:cs="Times New Roman"/>
          <w:sz w:val="30"/>
          <w:szCs w:val="30"/>
        </w:rPr>
        <w:t xml:space="preserve">4</w:t>
      </w:r>
      <w:r>
        <w:rPr>
          <w:rFonts w:ascii="Times New Roman" w:hAnsi="Times New Roman" w:cs="Times New Roman"/>
          <w:sz w:val="30"/>
          <w:szCs w:val="30"/>
        </w:rPr>
        <w:t xml:space="preserve"> октября 202</w:t>
      </w:r>
      <w:r>
        <w:rPr>
          <w:rFonts w:ascii="Times New Roman" w:hAnsi="Times New Roman" w:cs="Times New Roman"/>
          <w:sz w:val="30"/>
          <w:szCs w:val="30"/>
        </w:rPr>
        <w:t xml:space="preserve">5</w:t>
      </w:r>
      <w:r>
        <w:rPr>
          <w:rFonts w:ascii="Times New Roman" w:hAnsi="Times New Roman" w:cs="Times New Roman"/>
          <w:sz w:val="30"/>
          <w:szCs w:val="30"/>
        </w:rPr>
        <w:t xml:space="preserve"> года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 xml:space="preserve">на площадке </w:t>
      </w:r>
      <w:r>
        <w:rPr>
          <w:rFonts w:ascii="Times New Roman" w:hAnsi="Times New Roman" w:cs="Times New Roman"/>
          <w:sz w:val="30"/>
          <w:szCs w:val="30"/>
        </w:rPr>
        <w:t xml:space="preserve">национального центра «Россия»</w:t>
      </w:r>
      <w:r>
        <w:rPr>
          <w:rFonts w:ascii="Times New Roman" w:hAnsi="Times New Roman" w:cs="Times New Roman"/>
          <w:sz w:val="30"/>
          <w:szCs w:val="30"/>
        </w:rPr>
        <w:t xml:space="preserve">. В</w:t>
      </w:r>
      <w:r>
        <w:rPr>
          <w:rFonts w:ascii="Times New Roman" w:hAnsi="Times New Roman" w:cs="Times New Roman"/>
          <w:sz w:val="30"/>
          <w:szCs w:val="30"/>
        </w:rPr>
        <w:t xml:space="preserve"> рамках </w:t>
      </w:r>
      <w:r>
        <w:rPr>
          <w:rFonts w:ascii="Times New Roman" w:hAnsi="Times New Roman" w:cs="Times New Roman"/>
          <w:sz w:val="30"/>
          <w:szCs w:val="30"/>
        </w:rPr>
        <w:t xml:space="preserve">мероприятия </w:t>
      </w:r>
      <w:r>
        <w:rPr>
          <w:rFonts w:ascii="Times New Roman" w:hAnsi="Times New Roman" w:cs="Times New Roman"/>
          <w:sz w:val="30"/>
          <w:szCs w:val="30"/>
        </w:rPr>
        <w:t xml:space="preserve">будет</w:t>
      </w:r>
      <w:r>
        <w:rPr>
          <w:rFonts w:ascii="Times New Roman" w:hAnsi="Times New Roman" w:cs="Times New Roman"/>
          <w:sz w:val="30"/>
          <w:szCs w:val="30"/>
        </w:rPr>
        <w:t xml:space="preserve"> проведено </w:t>
      </w:r>
      <w:r>
        <w:rPr>
          <w:rFonts w:ascii="Times New Roman" w:hAnsi="Times New Roman" w:cs="Times New Roman"/>
          <w:sz w:val="30"/>
          <w:szCs w:val="30"/>
        </w:rPr>
        <w:t xml:space="preserve">награжден</w:t>
      </w:r>
      <w:r>
        <w:rPr>
          <w:rFonts w:ascii="Times New Roman" w:hAnsi="Times New Roman" w:cs="Times New Roman"/>
          <w:sz w:val="30"/>
          <w:szCs w:val="30"/>
        </w:rPr>
        <w:t xml:space="preserve">ие</w:t>
      </w:r>
      <w:r>
        <w:rPr>
          <w:rFonts w:ascii="Times New Roman" w:hAnsi="Times New Roman" w:cs="Times New Roman"/>
          <w:sz w:val="30"/>
          <w:szCs w:val="30"/>
        </w:rPr>
        <w:t xml:space="preserve"> по</w:t>
      </w:r>
      <w:r>
        <w:rPr>
          <w:rFonts w:ascii="Times New Roman" w:hAnsi="Times New Roman" w:cs="Times New Roman"/>
          <w:sz w:val="30"/>
          <w:szCs w:val="30"/>
        </w:rPr>
        <w:t xml:space="preserve"> номинации </w:t>
      </w:r>
      <w:r>
        <w:rPr>
          <w:rFonts w:ascii="Times New Roman" w:hAnsi="Times New Roman"/>
          <w:sz w:val="30"/>
          <w:szCs w:val="30"/>
          <w:shd w:val="clear" w:color="auto" w:fill="ffffff"/>
        </w:rPr>
        <w:t xml:space="preserve">«Лучший стажер»</w:t>
      </w:r>
      <w:r>
        <w:rPr>
          <w:rFonts w:ascii="Times New Roman" w:hAnsi="Times New Roman"/>
          <w:sz w:val="30"/>
          <w:szCs w:val="30"/>
          <w:shd w:val="clear" w:color="auto" w:fill="ffffff"/>
        </w:rPr>
        <w:t xml:space="preserve">, вручены сертификаты об участии и пройдет встреча с приглашенным</w:t>
      </w:r>
      <w:r>
        <w:rPr>
          <w:rFonts w:ascii="Times New Roman" w:hAnsi="Times New Roman"/>
          <w:sz w:val="30"/>
          <w:szCs w:val="30"/>
          <w:shd w:val="clear" w:color="auto" w:fill="ffffff"/>
        </w:rPr>
        <w:t xml:space="preserve">и</w:t>
      </w:r>
      <w:r>
        <w:rPr>
          <w:rFonts w:ascii="Times New Roman" w:hAnsi="Times New Roman"/>
          <w:sz w:val="30"/>
          <w:szCs w:val="30"/>
          <w:shd w:val="clear" w:color="auto" w:fill="ffffff"/>
        </w:rPr>
        <w:t xml:space="preserve"> спикер</w:t>
      </w:r>
      <w:r>
        <w:rPr>
          <w:rFonts w:ascii="Times New Roman" w:hAnsi="Times New Roman"/>
          <w:sz w:val="30"/>
          <w:szCs w:val="30"/>
          <w:shd w:val="clear" w:color="auto" w:fill="ffffff"/>
        </w:rPr>
        <w:t xml:space="preserve">ами</w:t>
      </w:r>
      <w:r>
        <w:rPr>
          <w:rFonts w:ascii="Times New Roman" w:hAnsi="Times New Roman"/>
          <w:sz w:val="30"/>
          <w:szCs w:val="30"/>
          <w:shd w:val="clear" w:color="auto" w:fill="ffffff"/>
        </w:rPr>
        <w:t xml:space="preserve">.</w:t>
      </w:r>
      <w:r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>
        <w:rPr>
          <w:rFonts w:ascii="Times New Roman" w:hAnsi="Times New Roman"/>
          <w:sz w:val="30"/>
          <w:szCs w:val="30"/>
          <w:shd w:val="clear" w:color="auto" w:fill="ffffff"/>
        </w:rPr>
      </w:r>
      <w:r>
        <w:rPr>
          <w:rFonts w:ascii="Times New Roman" w:hAnsi="Times New Roman"/>
          <w:sz w:val="30"/>
          <w:szCs w:val="30"/>
          <w:shd w:val="clear" w:color="auto" w:fill="ffffff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Helvetica Neue"/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684968003"/>
      <w:docPartObj>
        <w:docPartGallery w:val="Page Numbers (Bottom of Page)"/>
        <w:docPartUnique w:val="true"/>
      </w:docPartObj>
      <w:rPr/>
    </w:sdtPr>
    <w:sdtContent>
      <w:p>
        <w:pPr>
          <w:pStyle w:val="931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93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1" allowOverlap="1">
              <wp:simplePos x="0" y="0"/>
              <wp:positionH relativeFrom="margin">
                <wp:posOffset>3787775</wp:posOffset>
              </wp:positionH>
              <wp:positionV relativeFrom="topMargin">
                <wp:posOffset>220345</wp:posOffset>
              </wp:positionV>
              <wp:extent cx="1922145" cy="487045"/>
              <wp:effectExtent l="0" t="0" r="1905" b="8255"/>
              <wp:wrapSquare wrapText="bothSides"/>
              <wp:docPr id="1" name="Рисунок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92214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251660288;o:allowoverlap:true;o:allowincell:true;mso-position-horizontal-relative:margin;margin-left:298.25pt;mso-position-horizontal:absolute;mso-position-vertical-relative:top-margin-area;margin-top:17.35pt;mso-position-vertical:absolute;width:151.35pt;height:38.35pt;mso-wrap-distance-left:9.00pt;mso-wrap-distance-top:0.00pt;mso-wrap-distance-right:9.00pt;mso-wrap-distance-bottom:0.00pt;" stroked="f">
              <v:path textboxrect="0,0,0,0"/>
              <w10:wrap type="square"/>
              <v:imagedata r:id="rId1" o:title=""/>
            </v:shape>
          </w:pict>
        </mc:Fallback>
      </mc:AlternateContent>
    </w:r>
    <w:r>
      <w:rPr>
        <w:rFonts w:eastAsia="Times New Roman"/>
        <w:b/>
        <w:bCs/>
        <w:caps/>
        <w:color w:val="000000"/>
        <w:sz w:val="36"/>
        <w:szCs w:val="36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<wp:simplePos x="0" y="0"/>
              <wp:positionH relativeFrom="column">
                <wp:posOffset>-600075</wp:posOffset>
              </wp:positionH>
              <wp:positionV relativeFrom="paragraph">
                <wp:posOffset>-184150</wp:posOffset>
              </wp:positionV>
              <wp:extent cx="2566670" cy="377825"/>
              <wp:effectExtent l="0" t="0" r="0" b="3175"/>
              <wp:wrapTopAndBottom/>
              <wp:docPr id="2" name="Рисунок 240825679" descr="Изображение выглядит как Шрифт, Графика, типография&#10;&#10;Автоматически созданное описание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40825679" name="Рисунок 240825679" descr="Изображение выглядит как Шрифт, Графика, типография&#10;&#10;Автоматически созданное описание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2"/>
                      <a:stretch/>
                    </pic:blipFill>
                    <pic:spPr bwMode="auto">
                      <a:xfrm>
                        <a:off x="0" y="0"/>
                        <a:ext cx="2566670" cy="3778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" o:spid="_x0000_s1" type="#_x0000_t75" style="position:absolute;z-index:251659264;o:allowoverlap:true;o:allowincell:true;mso-position-horizontal-relative:text;margin-left:-47.25pt;mso-position-horizontal:absolute;mso-position-vertical-relative:text;margin-top:-14.50pt;mso-position-vertical:absolute;width:202.10pt;height:29.75pt;mso-wrap-distance-left:9.00pt;mso-wrap-distance-top:0.00pt;mso-wrap-distance-right:9.00pt;mso-wrap-distance-bottom:0.00pt;" stroked="false">
              <v:path textboxrect="0,0,0,0"/>
              <w10:wrap type="topAndBottom"/>
              <v:imagedata r:id="rId2" o:title=""/>
            </v:shape>
          </w:pict>
        </mc:Fallback>
      </mc:AlternateContent>
    </w:r>
    <w:r>
      <w:t xml:space="preserve">                     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429" w:hanging="360"/>
      </w:pPr>
      <w:rPr>
        <w:rFonts w:hint="default" w:ascii="Times New Roman" w:hAnsi="Times New Roman" w:cs="Times New Roman" w:eastAsiaTheme="minorHAnsi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6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16"/>
  </w:num>
  <w:num w:numId="3">
    <w:abstractNumId w:val="11"/>
  </w:num>
  <w:num w:numId="4">
    <w:abstractNumId w:val="14"/>
  </w:num>
  <w:num w:numId="5">
    <w:abstractNumId w:val="18"/>
  </w:num>
  <w:num w:numId="6">
    <w:abstractNumId w:val="9"/>
  </w:num>
  <w:num w:numId="7">
    <w:abstractNumId w:val="0"/>
  </w:num>
  <w:num w:numId="8">
    <w:abstractNumId w:val="5"/>
  </w:num>
  <w:num w:numId="9">
    <w:abstractNumId w:val="6"/>
  </w:num>
  <w:num w:numId="10">
    <w:abstractNumId w:val="2"/>
  </w:num>
  <w:num w:numId="11">
    <w:abstractNumId w:val="3"/>
  </w:num>
  <w:num w:numId="12">
    <w:abstractNumId w:val="4"/>
  </w:num>
  <w:num w:numId="13">
    <w:abstractNumId w:val="17"/>
  </w:num>
  <w:num w:numId="14">
    <w:abstractNumId w:val="7"/>
  </w:num>
  <w:num w:numId="15">
    <w:abstractNumId w:val="10"/>
  </w:num>
  <w:num w:numId="16">
    <w:abstractNumId w:val="15"/>
  </w:num>
  <w:num w:numId="17">
    <w:abstractNumId w:val="13"/>
  </w:num>
  <w:num w:numId="18">
    <w:abstractNumId w:val="8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0">
    <w:name w:val="Heading 1"/>
    <w:basedOn w:val="924"/>
    <w:next w:val="924"/>
    <w:link w:val="75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1">
    <w:name w:val="Heading 1 Char"/>
    <w:basedOn w:val="925"/>
    <w:link w:val="750"/>
    <w:uiPriority w:val="9"/>
    <w:rPr>
      <w:rFonts w:ascii="Arial" w:hAnsi="Arial" w:eastAsia="Arial" w:cs="Arial"/>
      <w:sz w:val="40"/>
      <w:szCs w:val="40"/>
    </w:rPr>
  </w:style>
  <w:style w:type="paragraph" w:styleId="752">
    <w:name w:val="Heading 2"/>
    <w:basedOn w:val="924"/>
    <w:next w:val="924"/>
    <w:link w:val="75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3">
    <w:name w:val="Heading 2 Char"/>
    <w:basedOn w:val="925"/>
    <w:link w:val="752"/>
    <w:uiPriority w:val="9"/>
    <w:rPr>
      <w:rFonts w:ascii="Arial" w:hAnsi="Arial" w:eastAsia="Arial" w:cs="Arial"/>
      <w:sz w:val="34"/>
    </w:rPr>
  </w:style>
  <w:style w:type="paragraph" w:styleId="754">
    <w:name w:val="Heading 3"/>
    <w:basedOn w:val="924"/>
    <w:next w:val="924"/>
    <w:link w:val="75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5">
    <w:name w:val="Heading 3 Char"/>
    <w:basedOn w:val="925"/>
    <w:link w:val="754"/>
    <w:uiPriority w:val="9"/>
    <w:rPr>
      <w:rFonts w:ascii="Arial" w:hAnsi="Arial" w:eastAsia="Arial" w:cs="Arial"/>
      <w:sz w:val="30"/>
      <w:szCs w:val="30"/>
    </w:rPr>
  </w:style>
  <w:style w:type="paragraph" w:styleId="756">
    <w:name w:val="Heading 4"/>
    <w:basedOn w:val="924"/>
    <w:next w:val="924"/>
    <w:link w:val="75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7">
    <w:name w:val="Heading 4 Char"/>
    <w:basedOn w:val="925"/>
    <w:link w:val="756"/>
    <w:uiPriority w:val="9"/>
    <w:rPr>
      <w:rFonts w:ascii="Arial" w:hAnsi="Arial" w:eastAsia="Arial" w:cs="Arial"/>
      <w:b/>
      <w:bCs/>
      <w:sz w:val="26"/>
      <w:szCs w:val="26"/>
    </w:rPr>
  </w:style>
  <w:style w:type="paragraph" w:styleId="758">
    <w:name w:val="Heading 5"/>
    <w:basedOn w:val="924"/>
    <w:next w:val="924"/>
    <w:link w:val="7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9">
    <w:name w:val="Heading 5 Char"/>
    <w:basedOn w:val="925"/>
    <w:link w:val="758"/>
    <w:uiPriority w:val="9"/>
    <w:rPr>
      <w:rFonts w:ascii="Arial" w:hAnsi="Arial" w:eastAsia="Arial" w:cs="Arial"/>
      <w:b/>
      <w:bCs/>
      <w:sz w:val="24"/>
      <w:szCs w:val="24"/>
    </w:rPr>
  </w:style>
  <w:style w:type="paragraph" w:styleId="760">
    <w:name w:val="Heading 6"/>
    <w:basedOn w:val="924"/>
    <w:next w:val="924"/>
    <w:link w:val="7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1">
    <w:name w:val="Heading 6 Char"/>
    <w:basedOn w:val="925"/>
    <w:link w:val="760"/>
    <w:uiPriority w:val="9"/>
    <w:rPr>
      <w:rFonts w:ascii="Arial" w:hAnsi="Arial" w:eastAsia="Arial" w:cs="Arial"/>
      <w:b/>
      <w:bCs/>
      <w:sz w:val="22"/>
      <w:szCs w:val="22"/>
    </w:rPr>
  </w:style>
  <w:style w:type="paragraph" w:styleId="762">
    <w:name w:val="Heading 7"/>
    <w:basedOn w:val="924"/>
    <w:next w:val="924"/>
    <w:link w:val="7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3">
    <w:name w:val="Heading 7 Char"/>
    <w:basedOn w:val="925"/>
    <w:link w:val="7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4">
    <w:name w:val="Heading 8"/>
    <w:basedOn w:val="924"/>
    <w:next w:val="924"/>
    <w:link w:val="7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5">
    <w:name w:val="Heading 8 Char"/>
    <w:basedOn w:val="925"/>
    <w:link w:val="764"/>
    <w:uiPriority w:val="9"/>
    <w:rPr>
      <w:rFonts w:ascii="Arial" w:hAnsi="Arial" w:eastAsia="Arial" w:cs="Arial"/>
      <w:i/>
      <w:iCs/>
      <w:sz w:val="22"/>
      <w:szCs w:val="22"/>
    </w:rPr>
  </w:style>
  <w:style w:type="paragraph" w:styleId="766">
    <w:name w:val="Heading 9"/>
    <w:basedOn w:val="924"/>
    <w:next w:val="924"/>
    <w:link w:val="7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7">
    <w:name w:val="Heading 9 Char"/>
    <w:basedOn w:val="925"/>
    <w:link w:val="766"/>
    <w:uiPriority w:val="9"/>
    <w:rPr>
      <w:rFonts w:ascii="Arial" w:hAnsi="Arial" w:eastAsia="Arial" w:cs="Arial"/>
      <w:i/>
      <w:iCs/>
      <w:sz w:val="21"/>
      <w:szCs w:val="21"/>
    </w:rPr>
  </w:style>
  <w:style w:type="paragraph" w:styleId="768">
    <w:name w:val="No Spacing"/>
    <w:uiPriority w:val="1"/>
    <w:qFormat/>
    <w:pPr>
      <w:spacing w:before="0" w:after="0" w:line="240" w:lineRule="auto"/>
    </w:pPr>
  </w:style>
  <w:style w:type="paragraph" w:styleId="769">
    <w:name w:val="Title"/>
    <w:basedOn w:val="924"/>
    <w:next w:val="924"/>
    <w:link w:val="7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0">
    <w:name w:val="Title Char"/>
    <w:basedOn w:val="925"/>
    <w:link w:val="769"/>
    <w:uiPriority w:val="10"/>
    <w:rPr>
      <w:sz w:val="48"/>
      <w:szCs w:val="48"/>
    </w:rPr>
  </w:style>
  <w:style w:type="paragraph" w:styleId="771">
    <w:name w:val="Subtitle"/>
    <w:basedOn w:val="924"/>
    <w:next w:val="924"/>
    <w:link w:val="772"/>
    <w:uiPriority w:val="11"/>
    <w:qFormat/>
    <w:pPr>
      <w:spacing w:before="200" w:after="200"/>
    </w:pPr>
    <w:rPr>
      <w:sz w:val="24"/>
      <w:szCs w:val="24"/>
    </w:rPr>
  </w:style>
  <w:style w:type="character" w:styleId="772">
    <w:name w:val="Subtitle Char"/>
    <w:basedOn w:val="925"/>
    <w:link w:val="771"/>
    <w:uiPriority w:val="11"/>
    <w:rPr>
      <w:sz w:val="24"/>
      <w:szCs w:val="24"/>
    </w:rPr>
  </w:style>
  <w:style w:type="paragraph" w:styleId="773">
    <w:name w:val="Quote"/>
    <w:basedOn w:val="924"/>
    <w:next w:val="924"/>
    <w:link w:val="774"/>
    <w:uiPriority w:val="29"/>
    <w:qFormat/>
    <w:pPr>
      <w:ind w:left="720" w:right="720"/>
    </w:pPr>
    <w:rPr>
      <w:i/>
    </w:rPr>
  </w:style>
  <w:style w:type="character" w:styleId="774">
    <w:name w:val="Quote Char"/>
    <w:link w:val="773"/>
    <w:uiPriority w:val="29"/>
    <w:rPr>
      <w:i/>
    </w:rPr>
  </w:style>
  <w:style w:type="paragraph" w:styleId="775">
    <w:name w:val="Intense Quote"/>
    <w:basedOn w:val="924"/>
    <w:next w:val="924"/>
    <w:link w:val="7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>
    <w:name w:val="Intense Quote Char"/>
    <w:link w:val="775"/>
    <w:uiPriority w:val="30"/>
    <w:rPr>
      <w:i/>
    </w:rPr>
  </w:style>
  <w:style w:type="character" w:styleId="777">
    <w:name w:val="Header Char"/>
    <w:basedOn w:val="925"/>
    <w:link w:val="929"/>
    <w:uiPriority w:val="99"/>
  </w:style>
  <w:style w:type="character" w:styleId="778">
    <w:name w:val="Footer Char"/>
    <w:basedOn w:val="925"/>
    <w:link w:val="931"/>
    <w:uiPriority w:val="99"/>
  </w:style>
  <w:style w:type="paragraph" w:styleId="779">
    <w:name w:val="Caption"/>
    <w:basedOn w:val="924"/>
    <w:next w:val="92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0">
    <w:name w:val="Caption Char"/>
    <w:basedOn w:val="779"/>
    <w:link w:val="931"/>
    <w:uiPriority w:val="99"/>
  </w:style>
  <w:style w:type="table" w:styleId="781">
    <w:name w:val="Table Grid"/>
    <w:basedOn w:val="92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>
    <w:name w:val="Table Grid Light"/>
    <w:basedOn w:val="92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3">
    <w:name w:val="Plain Table 1"/>
    <w:basedOn w:val="92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4">
    <w:name w:val="Plain Table 2"/>
    <w:basedOn w:val="92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5">
    <w:name w:val="Plain Table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6">
    <w:name w:val="Plain Table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Plain Table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8">
    <w:name w:val="Grid Table 1 Light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1 Light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2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2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4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0">
    <w:name w:val="Grid Table 4 - Accent 1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1">
    <w:name w:val="Grid Table 4 - Accent 2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2">
    <w:name w:val="Grid Table 4 - Accent 3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3">
    <w:name w:val="Grid Table 4 - Accent 4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4">
    <w:name w:val="Grid Table 4 - Accent 5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5">
    <w:name w:val="Grid Table 4 - Accent 6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6">
    <w:name w:val="Grid Table 5 Dark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7">
    <w:name w:val="Grid Table 5 Dark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18">
    <w:name w:val="Grid Table 5 Dark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20">
    <w:name w:val="Grid Table 5 Dark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21">
    <w:name w:val="Grid Table 5 Dark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22">
    <w:name w:val="Grid Table 5 Dark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23">
    <w:name w:val="Grid Table 6 Colorful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4">
    <w:name w:val="Grid Table 6 Colorful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5">
    <w:name w:val="Grid Table 6 Colorful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6">
    <w:name w:val="Grid Table 6 Colorful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7">
    <w:name w:val="Grid Table 6 Colorful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8">
    <w:name w:val="Grid Table 6 Colorful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9">
    <w:name w:val="Grid Table 6 Colorful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0">
    <w:name w:val="Grid Table 7 Colorful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7 Colorful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7 Colorful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5">
    <w:name w:val="List Table 2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6">
    <w:name w:val="List Table 2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7">
    <w:name w:val="List Table 2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8">
    <w:name w:val="List Table 2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9">
    <w:name w:val="List Table 2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0">
    <w:name w:val="List Table 2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1">
    <w:name w:val="List Table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3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5 Dark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5 Dark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6 Colorful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3">
    <w:name w:val="List Table 6 Colorful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4">
    <w:name w:val="List Table 6 Colorful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5">
    <w:name w:val="List Table 6 Colorful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6">
    <w:name w:val="List Table 6 Colorful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7">
    <w:name w:val="List Table 6 Colorful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8">
    <w:name w:val="List Table 6 Colorful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9">
    <w:name w:val="List Table 7 Colorful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0">
    <w:name w:val="List Table 7 Colorful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81">
    <w:name w:val="List Table 7 Colorful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82">
    <w:name w:val="List Table 7 Colorful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83">
    <w:name w:val="List Table 7 Colorful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84">
    <w:name w:val="List Table 7 Colorful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85">
    <w:name w:val="List Table 7 Colorful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86">
    <w:name w:val="Lined - Accent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7">
    <w:name w:val="Lined - Accent 1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88">
    <w:name w:val="Lined - Accent 2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9">
    <w:name w:val="Lined - Accent 3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90">
    <w:name w:val="Lined - Accent 4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1">
    <w:name w:val="Lined - Accent 5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92">
    <w:name w:val="Lined - Accent 6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93">
    <w:name w:val="Bordered &amp; Lined - Accent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4">
    <w:name w:val="Bordered &amp; Lined - Accent 1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95">
    <w:name w:val="Bordered &amp; Lined - Accent 2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96">
    <w:name w:val="Bordered &amp; Lined - Accent 3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97">
    <w:name w:val="Bordered &amp; Lined - Accent 4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8">
    <w:name w:val="Bordered &amp; Lined - Accent 5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99">
    <w:name w:val="Bordered &amp; Lined - Accent 6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00">
    <w:name w:val="Bordered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1">
    <w:name w:val="Bordered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2">
    <w:name w:val="Bordered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3">
    <w:name w:val="Bordered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4">
    <w:name w:val="Bordered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5">
    <w:name w:val="Bordered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6">
    <w:name w:val="Bordered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907">
    <w:name w:val="footnote text"/>
    <w:basedOn w:val="924"/>
    <w:link w:val="908"/>
    <w:uiPriority w:val="99"/>
    <w:semiHidden/>
    <w:unhideWhenUsed/>
    <w:pPr>
      <w:spacing w:after="40" w:line="240" w:lineRule="auto"/>
    </w:pPr>
    <w:rPr>
      <w:sz w:val="18"/>
    </w:rPr>
  </w:style>
  <w:style w:type="character" w:styleId="908">
    <w:name w:val="Footnote Text Char"/>
    <w:link w:val="907"/>
    <w:uiPriority w:val="99"/>
    <w:rPr>
      <w:sz w:val="18"/>
    </w:rPr>
  </w:style>
  <w:style w:type="character" w:styleId="909">
    <w:name w:val="footnote reference"/>
    <w:basedOn w:val="925"/>
    <w:uiPriority w:val="99"/>
    <w:unhideWhenUsed/>
    <w:rPr>
      <w:vertAlign w:val="superscript"/>
    </w:rPr>
  </w:style>
  <w:style w:type="paragraph" w:styleId="910">
    <w:name w:val="endnote text"/>
    <w:basedOn w:val="924"/>
    <w:link w:val="911"/>
    <w:uiPriority w:val="99"/>
    <w:semiHidden/>
    <w:unhideWhenUsed/>
    <w:pPr>
      <w:spacing w:after="0" w:line="240" w:lineRule="auto"/>
    </w:pPr>
    <w:rPr>
      <w:sz w:val="20"/>
    </w:rPr>
  </w:style>
  <w:style w:type="character" w:styleId="911">
    <w:name w:val="Endnote Text Char"/>
    <w:link w:val="910"/>
    <w:uiPriority w:val="99"/>
    <w:rPr>
      <w:sz w:val="20"/>
    </w:rPr>
  </w:style>
  <w:style w:type="character" w:styleId="912">
    <w:name w:val="endnote reference"/>
    <w:basedOn w:val="925"/>
    <w:uiPriority w:val="99"/>
    <w:semiHidden/>
    <w:unhideWhenUsed/>
    <w:rPr>
      <w:vertAlign w:val="superscript"/>
    </w:rPr>
  </w:style>
  <w:style w:type="paragraph" w:styleId="913">
    <w:name w:val="toc 1"/>
    <w:basedOn w:val="924"/>
    <w:next w:val="924"/>
    <w:uiPriority w:val="39"/>
    <w:unhideWhenUsed/>
    <w:pPr>
      <w:ind w:left="0" w:right="0" w:firstLine="0"/>
      <w:spacing w:after="57"/>
    </w:pPr>
  </w:style>
  <w:style w:type="paragraph" w:styleId="914">
    <w:name w:val="toc 2"/>
    <w:basedOn w:val="924"/>
    <w:next w:val="924"/>
    <w:uiPriority w:val="39"/>
    <w:unhideWhenUsed/>
    <w:pPr>
      <w:ind w:left="283" w:right="0" w:firstLine="0"/>
      <w:spacing w:after="57"/>
    </w:pPr>
  </w:style>
  <w:style w:type="paragraph" w:styleId="915">
    <w:name w:val="toc 3"/>
    <w:basedOn w:val="924"/>
    <w:next w:val="924"/>
    <w:uiPriority w:val="39"/>
    <w:unhideWhenUsed/>
    <w:pPr>
      <w:ind w:left="567" w:right="0" w:firstLine="0"/>
      <w:spacing w:after="57"/>
    </w:pPr>
  </w:style>
  <w:style w:type="paragraph" w:styleId="916">
    <w:name w:val="toc 4"/>
    <w:basedOn w:val="924"/>
    <w:next w:val="924"/>
    <w:uiPriority w:val="39"/>
    <w:unhideWhenUsed/>
    <w:pPr>
      <w:ind w:left="850" w:right="0" w:firstLine="0"/>
      <w:spacing w:after="57"/>
    </w:pPr>
  </w:style>
  <w:style w:type="paragraph" w:styleId="917">
    <w:name w:val="toc 5"/>
    <w:basedOn w:val="924"/>
    <w:next w:val="924"/>
    <w:uiPriority w:val="39"/>
    <w:unhideWhenUsed/>
    <w:pPr>
      <w:ind w:left="1134" w:right="0" w:firstLine="0"/>
      <w:spacing w:after="57"/>
    </w:pPr>
  </w:style>
  <w:style w:type="paragraph" w:styleId="918">
    <w:name w:val="toc 6"/>
    <w:basedOn w:val="924"/>
    <w:next w:val="924"/>
    <w:uiPriority w:val="39"/>
    <w:unhideWhenUsed/>
    <w:pPr>
      <w:ind w:left="1417" w:right="0" w:firstLine="0"/>
      <w:spacing w:after="57"/>
    </w:pPr>
  </w:style>
  <w:style w:type="paragraph" w:styleId="919">
    <w:name w:val="toc 7"/>
    <w:basedOn w:val="924"/>
    <w:next w:val="924"/>
    <w:uiPriority w:val="39"/>
    <w:unhideWhenUsed/>
    <w:pPr>
      <w:ind w:left="1701" w:right="0" w:firstLine="0"/>
      <w:spacing w:after="57"/>
    </w:pPr>
  </w:style>
  <w:style w:type="paragraph" w:styleId="920">
    <w:name w:val="toc 8"/>
    <w:basedOn w:val="924"/>
    <w:next w:val="924"/>
    <w:uiPriority w:val="39"/>
    <w:unhideWhenUsed/>
    <w:pPr>
      <w:ind w:left="1984" w:right="0" w:firstLine="0"/>
      <w:spacing w:after="57"/>
    </w:pPr>
  </w:style>
  <w:style w:type="paragraph" w:styleId="921">
    <w:name w:val="toc 9"/>
    <w:basedOn w:val="924"/>
    <w:next w:val="924"/>
    <w:uiPriority w:val="39"/>
    <w:unhideWhenUsed/>
    <w:pPr>
      <w:ind w:left="2268" w:right="0" w:firstLine="0"/>
      <w:spacing w:after="57"/>
    </w:pPr>
  </w:style>
  <w:style w:type="paragraph" w:styleId="922">
    <w:name w:val="TOC Heading"/>
    <w:uiPriority w:val="39"/>
    <w:unhideWhenUsed/>
  </w:style>
  <w:style w:type="paragraph" w:styleId="923">
    <w:name w:val="table of figures"/>
    <w:basedOn w:val="924"/>
    <w:next w:val="924"/>
    <w:uiPriority w:val="99"/>
    <w:unhideWhenUsed/>
    <w:pPr>
      <w:spacing w:after="0" w:afterAutospacing="0"/>
    </w:pPr>
  </w:style>
  <w:style w:type="paragraph" w:styleId="924" w:default="1">
    <w:name w:val="Normal"/>
    <w:qFormat/>
    <w:pPr>
      <w:spacing w:after="200" w:line="276" w:lineRule="auto"/>
    </w:pPr>
  </w:style>
  <w:style w:type="character" w:styleId="925" w:default="1">
    <w:name w:val="Default Paragraph Font"/>
    <w:uiPriority w:val="1"/>
    <w:semiHidden/>
    <w:unhideWhenUsed/>
  </w:style>
  <w:style w:type="table" w:styleId="92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7" w:default="1">
    <w:name w:val="No List"/>
    <w:uiPriority w:val="99"/>
    <w:semiHidden/>
    <w:unhideWhenUsed/>
  </w:style>
  <w:style w:type="paragraph" w:styleId="928" w:customStyle="1">
    <w:name w:val="Основной текст A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Helvetica Neue" w:hAnsi="Helvetica Neue" w:eastAsia="Arial Unicode MS" w:cs="Arial Unicode MS"/>
      <w:color w:val="000000"/>
      <w:lang w:eastAsia="ru-RU"/>
    </w:rPr>
  </w:style>
  <w:style w:type="paragraph" w:styleId="929">
    <w:name w:val="Header"/>
    <w:basedOn w:val="924"/>
    <w:link w:val="93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30" w:customStyle="1">
    <w:name w:val="Верхний колонтитул Знак"/>
    <w:basedOn w:val="925"/>
    <w:link w:val="929"/>
    <w:uiPriority w:val="99"/>
  </w:style>
  <w:style w:type="paragraph" w:styleId="931">
    <w:name w:val="Footer"/>
    <w:basedOn w:val="924"/>
    <w:link w:val="93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32" w:customStyle="1">
    <w:name w:val="Нижний колонтитул Знак"/>
    <w:basedOn w:val="925"/>
    <w:link w:val="931"/>
    <w:uiPriority w:val="99"/>
  </w:style>
  <w:style w:type="paragraph" w:styleId="933">
    <w:name w:val="List Paragraph"/>
    <w:basedOn w:val="924"/>
    <w:uiPriority w:val="34"/>
    <w:qFormat/>
    <w:pPr>
      <w:contextualSpacing/>
      <w:ind w:left="720"/>
    </w:pPr>
  </w:style>
  <w:style w:type="character" w:styleId="934">
    <w:name w:val="Hyperlink"/>
    <w:basedOn w:val="925"/>
    <w:uiPriority w:val="99"/>
    <w:unhideWhenUsed/>
    <w:rPr>
      <w:color w:val="0563c1" w:themeColor="hyperlink"/>
      <w:u w:val="single"/>
    </w:rPr>
  </w:style>
  <w:style w:type="character" w:styleId="935">
    <w:name w:val="Unresolved Mention"/>
    <w:basedOn w:val="925"/>
    <w:uiPriority w:val="99"/>
    <w:semiHidden/>
    <w:unhideWhenUsed/>
    <w:rPr>
      <w:color w:val="605e5c"/>
      <w:shd w:val="clear" w:color="auto" w:fill="e1dfdd"/>
    </w:rPr>
  </w:style>
  <w:style w:type="character" w:styleId="936">
    <w:name w:val="FollowedHyperlink"/>
    <w:basedOn w:val="925"/>
    <w:uiPriority w:val="99"/>
    <w:semiHidden/>
    <w:unhideWhenUsed/>
    <w:rPr>
      <w:color w:val="954f72" w:themeColor="followedHyperlink"/>
      <w:u w:val="single"/>
    </w:rPr>
  </w:style>
  <w:style w:type="character" w:styleId="937">
    <w:name w:val="annotation reference"/>
    <w:basedOn w:val="925"/>
    <w:uiPriority w:val="99"/>
    <w:semiHidden/>
    <w:unhideWhenUsed/>
    <w:rPr>
      <w:sz w:val="16"/>
      <w:szCs w:val="16"/>
    </w:rPr>
  </w:style>
  <w:style w:type="paragraph" w:styleId="938">
    <w:name w:val="annotation text"/>
    <w:basedOn w:val="924"/>
    <w:link w:val="939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39" w:customStyle="1">
    <w:name w:val="Текст примечания Знак"/>
    <w:basedOn w:val="925"/>
    <w:link w:val="938"/>
    <w:uiPriority w:val="99"/>
    <w:semiHidden/>
    <w:rPr>
      <w:sz w:val="20"/>
      <w:szCs w:val="20"/>
    </w:rPr>
  </w:style>
  <w:style w:type="paragraph" w:styleId="940">
    <w:name w:val="annotation subject"/>
    <w:basedOn w:val="938"/>
    <w:next w:val="938"/>
    <w:link w:val="941"/>
    <w:uiPriority w:val="99"/>
    <w:semiHidden/>
    <w:unhideWhenUsed/>
    <w:rPr>
      <w:b/>
      <w:bCs/>
    </w:rPr>
  </w:style>
  <w:style w:type="character" w:styleId="941" w:customStyle="1">
    <w:name w:val="Тема примечания Знак"/>
    <w:basedOn w:val="939"/>
    <w:link w:val="940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Кузнецова</dc:creator>
  <cp:keywords/>
  <dc:description/>
  <cp:lastModifiedBy>ГосСтарт Росмолодёжь</cp:lastModifiedBy>
  <cp:revision>6</cp:revision>
  <dcterms:created xsi:type="dcterms:W3CDTF">2025-06-03T10:33:00Z</dcterms:created>
  <dcterms:modified xsi:type="dcterms:W3CDTF">2025-07-07T09:46:36Z</dcterms:modified>
</cp:coreProperties>
</file>